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"/>
        <w:gridCol w:w="840"/>
        <w:gridCol w:w="721"/>
        <w:gridCol w:w="776"/>
        <w:gridCol w:w="599"/>
        <w:gridCol w:w="787"/>
        <w:gridCol w:w="601"/>
        <w:gridCol w:w="918"/>
        <w:gridCol w:w="908"/>
        <w:gridCol w:w="1169"/>
        <w:gridCol w:w="1169"/>
        <w:gridCol w:w="1170"/>
        <w:gridCol w:w="797"/>
      </w:tblGrid>
      <w:tr w:rsidR="006B58B2" w:rsidTr="006B58B2">
        <w:trPr>
          <w:cantSplit/>
          <w:trHeight w:hRule="exact" w:val="272"/>
        </w:trPr>
        <w:tc>
          <w:tcPr>
            <w:tcW w:w="207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6" w:type="dxa"/>
            <w:gridSpan w:val="3"/>
            <w:shd w:val="clear" w:color="auto" w:fill="FFFFFF"/>
            <w:noWrap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УТВЕРЖДЕНА</w:t>
            </w:r>
          </w:p>
        </w:tc>
      </w:tr>
      <w:tr w:rsidR="006B58B2" w:rsidTr="006B58B2">
        <w:trPr>
          <w:cantSplit/>
          <w:trHeight w:hRule="exact" w:val="683"/>
        </w:trPr>
        <w:tc>
          <w:tcPr>
            <w:tcW w:w="207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6" w:type="dxa"/>
            <w:gridSpan w:val="3"/>
            <w:shd w:val="clear" w:color="auto" w:fill="FFFFFF"/>
            <w:noWrap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постановлением Правительства</w:t>
            </w:r>
          </w:p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Российской Федерации</w:t>
            </w:r>
          </w:p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от 17 декабря 2012 г.№ 1317</w:t>
            </w:r>
          </w:p>
        </w:tc>
      </w:tr>
      <w:tr w:rsidR="006B58B2" w:rsidTr="006B58B2">
        <w:trPr>
          <w:cantSplit/>
          <w:trHeight w:hRule="exact" w:val="179"/>
        </w:trPr>
        <w:tc>
          <w:tcPr>
            <w:tcW w:w="207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FFFFFF"/>
            <w:noWrap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206"/>
        </w:trPr>
        <w:tc>
          <w:tcPr>
            <w:tcW w:w="207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216"/>
        </w:trPr>
        <w:tc>
          <w:tcPr>
            <w:tcW w:w="207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308"/>
        </w:trPr>
        <w:tc>
          <w:tcPr>
            <w:tcW w:w="207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5" w:type="dxa"/>
            <w:gridSpan w:val="12"/>
            <w:shd w:val="clear" w:color="auto" w:fill="FFFFFF"/>
            <w:noWrap/>
            <w:vAlign w:val="center"/>
            <w:hideMark/>
          </w:tcPr>
          <w:p w:rsidR="006B58B2" w:rsidRDefault="00EF7ACB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ДОКЛАД</w:t>
            </w:r>
            <w:bookmarkStart w:id="0" w:name="_GoBack"/>
            <w:bookmarkEnd w:id="0"/>
          </w:p>
        </w:tc>
      </w:tr>
      <w:tr w:rsidR="006B58B2" w:rsidTr="006B58B2">
        <w:trPr>
          <w:cantSplit/>
          <w:trHeight w:hRule="exact" w:val="308"/>
        </w:trPr>
        <w:tc>
          <w:tcPr>
            <w:tcW w:w="207" w:type="dxa"/>
            <w:shd w:val="clear" w:color="auto" w:fill="FFFFFF"/>
            <w:noWrap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5" w:type="dxa"/>
            <w:gridSpan w:val="1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  <w:vAlign w:val="center"/>
          </w:tcPr>
          <w:p w:rsidR="006B58B2" w:rsidRDefault="006B58B2" w:rsidP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Богданов Иван Олегович</w:t>
            </w:r>
          </w:p>
        </w:tc>
      </w:tr>
      <w:tr w:rsidR="006B58B2" w:rsidTr="006B58B2">
        <w:trPr>
          <w:cantSplit/>
          <w:trHeight w:hRule="exact" w:val="236"/>
        </w:trPr>
        <w:tc>
          <w:tcPr>
            <w:tcW w:w="207" w:type="dxa"/>
            <w:shd w:val="clear" w:color="auto" w:fill="FFFFFF"/>
            <w:noWrap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5" w:type="dxa"/>
            <w:gridSpan w:val="1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ф.и.о.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главы местной администрации городского округа (муниципального района))</w:t>
            </w:r>
          </w:p>
        </w:tc>
      </w:tr>
      <w:tr w:rsidR="006B58B2" w:rsidTr="006B58B2">
        <w:trPr>
          <w:cantSplit/>
          <w:trHeight w:hRule="exact" w:val="308"/>
        </w:trPr>
        <w:tc>
          <w:tcPr>
            <w:tcW w:w="207" w:type="dxa"/>
            <w:shd w:val="clear" w:color="auto" w:fill="FFFFFF"/>
            <w:noWrap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5" w:type="dxa"/>
            <w:gridSpan w:val="1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Кезский район</w:t>
            </w:r>
          </w:p>
        </w:tc>
      </w:tr>
      <w:tr w:rsidR="006B58B2" w:rsidTr="006B58B2">
        <w:trPr>
          <w:cantSplit/>
          <w:trHeight w:hRule="exact" w:val="236"/>
        </w:trPr>
        <w:tc>
          <w:tcPr>
            <w:tcW w:w="207" w:type="dxa"/>
            <w:shd w:val="clear" w:color="auto" w:fill="FFFFFF"/>
            <w:noWrap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5" w:type="dxa"/>
            <w:gridSpan w:val="1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городского округа (муниципального района)</w:t>
            </w:r>
          </w:p>
        </w:tc>
      </w:tr>
      <w:tr w:rsidR="006B58B2" w:rsidTr="006B58B2">
        <w:trPr>
          <w:cantSplit/>
          <w:trHeight w:hRule="exact" w:val="308"/>
        </w:trPr>
        <w:tc>
          <w:tcPr>
            <w:tcW w:w="207" w:type="dxa"/>
            <w:shd w:val="clear" w:color="auto" w:fill="FFFFFF"/>
            <w:noWrap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5" w:type="dxa"/>
            <w:gridSpan w:val="12"/>
            <w:shd w:val="clear" w:color="auto" w:fill="FFFFFF"/>
            <w:noWrap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достигнутых значениях показателей для оценки эффективности деятельности органов местного самоуправления</w:t>
            </w:r>
          </w:p>
        </w:tc>
      </w:tr>
      <w:tr w:rsidR="006B58B2" w:rsidTr="006B58B2">
        <w:trPr>
          <w:cantSplit/>
          <w:trHeight w:hRule="exact" w:val="308"/>
        </w:trPr>
        <w:tc>
          <w:tcPr>
            <w:tcW w:w="207" w:type="dxa"/>
            <w:shd w:val="clear" w:color="auto" w:fill="FFFFFF"/>
            <w:noWrap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5" w:type="dxa"/>
            <w:gridSpan w:val="12"/>
            <w:shd w:val="clear" w:color="auto" w:fill="FFFFFF"/>
            <w:noWrap/>
            <w:vAlign w:val="center"/>
            <w:hideMark/>
          </w:tcPr>
          <w:p w:rsidR="006B58B2" w:rsidRDefault="006B58B2" w:rsidP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 округов и муниципальных районов за 2014 год и их планируемые значения на 3 летний период</w:t>
            </w:r>
          </w:p>
        </w:tc>
      </w:tr>
      <w:tr w:rsidR="006B58B2" w:rsidTr="006B58B2">
        <w:trPr>
          <w:cantSplit/>
          <w:trHeight w:hRule="exact" w:val="308"/>
        </w:trPr>
        <w:tc>
          <w:tcPr>
            <w:tcW w:w="207" w:type="dxa"/>
            <w:shd w:val="clear" w:color="auto" w:fill="FFFFFF"/>
            <w:noWrap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206"/>
        </w:trPr>
        <w:tc>
          <w:tcPr>
            <w:tcW w:w="207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206"/>
        </w:trPr>
        <w:tc>
          <w:tcPr>
            <w:tcW w:w="207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290"/>
        </w:trPr>
        <w:tc>
          <w:tcPr>
            <w:tcW w:w="207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FFFFFF"/>
            <w:noWrap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Подпись</w:t>
            </w:r>
          </w:p>
        </w:tc>
        <w:tc>
          <w:tcPr>
            <w:tcW w:w="3508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  <w:vAlign w:val="bottom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290"/>
        </w:trPr>
        <w:tc>
          <w:tcPr>
            <w:tcW w:w="207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FFFFFF"/>
            <w:noWrap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Дата</w:t>
            </w:r>
          </w:p>
        </w:tc>
        <w:tc>
          <w:tcPr>
            <w:tcW w:w="116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"_______"</w:t>
            </w:r>
          </w:p>
        </w:tc>
        <w:tc>
          <w:tcPr>
            <w:tcW w:w="116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</w:t>
            </w:r>
          </w:p>
        </w:tc>
        <w:tc>
          <w:tcPr>
            <w:tcW w:w="117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</w:t>
            </w:r>
          </w:p>
        </w:tc>
        <w:tc>
          <w:tcPr>
            <w:tcW w:w="797" w:type="dxa"/>
            <w:shd w:val="clear" w:color="auto" w:fill="FFFFFF"/>
            <w:noWrap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6B58B2" w:rsidTr="006B58B2">
        <w:trPr>
          <w:cantSplit/>
          <w:trHeight w:hRule="exact" w:val="290"/>
        </w:trPr>
        <w:tc>
          <w:tcPr>
            <w:tcW w:w="207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58B2" w:rsidRDefault="006B58B2" w:rsidP="006B5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B58B2">
          <w:pgSz w:w="11906" w:h="16838"/>
          <w:pgMar w:top="567" w:right="567" w:bottom="567" w:left="56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"/>
        <w:gridCol w:w="371"/>
        <w:gridCol w:w="2888"/>
        <w:gridCol w:w="1312"/>
        <w:gridCol w:w="1052"/>
        <w:gridCol w:w="1053"/>
        <w:gridCol w:w="1052"/>
        <w:gridCol w:w="1052"/>
        <w:gridCol w:w="1052"/>
        <w:gridCol w:w="1053"/>
        <w:gridCol w:w="4340"/>
      </w:tblGrid>
      <w:tr w:rsidR="006B58B2" w:rsidTr="006B58B2">
        <w:trPr>
          <w:cantSplit/>
          <w:trHeight w:hRule="exact" w:val="382"/>
        </w:trPr>
        <w:tc>
          <w:tcPr>
            <w:tcW w:w="164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5" w:type="dxa"/>
            <w:gridSpan w:val="10"/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I. Показатели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</w:p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(муниципального района)</w:t>
            </w:r>
          </w:p>
        </w:tc>
      </w:tr>
      <w:tr w:rsidR="006B58B2" w:rsidTr="006B58B2">
        <w:trPr>
          <w:cantSplit/>
          <w:trHeight w:hRule="exact" w:val="216"/>
        </w:trPr>
        <w:tc>
          <w:tcPr>
            <w:tcW w:w="164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4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Кезский район</w:t>
            </w:r>
          </w:p>
        </w:tc>
        <w:tc>
          <w:tcPr>
            <w:tcW w:w="4340" w:type="dxa"/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188"/>
        </w:trPr>
        <w:tc>
          <w:tcPr>
            <w:tcW w:w="164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4" w:type="dxa"/>
            <w:gridSpan w:val="8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jc w:val="center"/>
              <w:rPr>
                <w:rFonts w:ascii="Times New Roman" w:hAnsi="Times New Roman" w:cs="Times New Roman"/>
                <w:color w:val="000000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color w:val="000000"/>
                <w:sz w:val="11"/>
                <w:szCs w:val="11"/>
              </w:rPr>
              <w:t>(официальное наименование городского округа (муниципального района))</w:t>
            </w:r>
          </w:p>
        </w:tc>
        <w:tc>
          <w:tcPr>
            <w:tcW w:w="4340" w:type="dxa"/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156"/>
        </w:trPr>
        <w:tc>
          <w:tcPr>
            <w:tcW w:w="164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nil"/>
              <w:left w:val="nil"/>
              <w:bottom w:val="single" w:sz="8" w:space="0" w:color="C0C0C0"/>
              <w:right w:val="nil"/>
            </w:tcBorders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val="216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noWrap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 Единица </w:t>
            </w:r>
          </w:p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измерения</w:t>
            </w:r>
          </w:p>
        </w:tc>
        <w:tc>
          <w:tcPr>
            <w:tcW w:w="631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noWrap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Отчетная информация</w:t>
            </w:r>
          </w:p>
        </w:tc>
        <w:tc>
          <w:tcPr>
            <w:tcW w:w="4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noWrap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Примечание</w:t>
            </w:r>
          </w:p>
        </w:tc>
      </w:tr>
      <w:tr w:rsidR="006B58B2" w:rsidTr="006B58B2">
        <w:trPr>
          <w:cantSplit/>
          <w:trHeight w:hRule="exact" w:val="216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B58B2" w:rsidRDefault="006B5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58B2" w:rsidRDefault="006B58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noWrap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2010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noWrap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2011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noWrap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2012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noWrap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2013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noWrap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2014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noWrap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2015</w:t>
            </w:r>
          </w:p>
        </w:tc>
        <w:tc>
          <w:tcPr>
            <w:tcW w:w="4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58B2" w:rsidRDefault="006B58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</w:tr>
      <w:tr w:rsidR="006B58B2" w:rsidTr="006B58B2">
        <w:trPr>
          <w:cantSplit/>
          <w:trHeight w:hRule="exact" w:val="216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Экономическое развитие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104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единиц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229,48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261,16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201,78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203,67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194,44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230,48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Число субъектов малого и среднего предпринимательства в расчете на 10 тыс. человек населения в 2012 году составил 250,86 единиц, по отношению к 2011 году снижение произошло на 10,3 единицы. Незначительный рост субъектов малого и среднего предпринимательства в 2013-2015 гг. обусловлен снижением численности населения района. </w:t>
            </w:r>
          </w:p>
        </w:tc>
      </w:tr>
      <w:tr w:rsidR="006B58B2" w:rsidTr="006B58B2">
        <w:trPr>
          <w:cantSplit/>
          <w:trHeight w:hRule="exact" w:val="1837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процентов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31,30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43,30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48,11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31,84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36,70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44,58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в 2012 году по сравнению с 2011 годом снизилась с 34,38 до 31,84 процента. В 2012 году снижение численности работников  произошло как по малым и средним предприятиям, так 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крупным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, но темпы снижения численности работающих на малых и средних предприятия значительно превысили темпы снижения по крупным предприятиям.</w:t>
            </w:r>
          </w:p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В 2013 - 2015 годы увеличение доли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не планируется </w:t>
            </w:r>
          </w:p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</w:tr>
      <w:tr w:rsidR="006B58B2" w:rsidTr="006B58B2">
        <w:trPr>
          <w:cantSplit/>
          <w:trHeight w:hRule="exact" w:val="1566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рублей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7734,68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12717,73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8714,28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7896,39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10627,24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9033,20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В 2012 году объем инвестиций в основной капитал (за исключением бюджетных средств) в расчете на 1 жителя снизился по отношению к 2011 году на 44% и составил 7097,12 рублей. На снижение показателя повлияло то, что прошло уменьшение объема инвестиций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оновной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капитал, в 2012 году объем составил 161820 тыс. руб. или 51 % к 2011 год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на ОАО "Кезский сырзавод"  в 2012 году закончена реализация инвестиционного проект). В том числе, уменьшилось количество инвестиций вложенных предприятиями в машины и оборудование (2011 г.-202469 тыс.руб, 2012 г. -107231 тыс.руб.), меньше инвестиционные вложения составили и в основной капитал,( 2011 г. -70122 тыс.руб. в 2012 г. -18213 тыс.руб.)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.</w:t>
            </w:r>
            <w:proofErr w:type="gramEnd"/>
          </w:p>
        </w:tc>
      </w:tr>
      <w:tr w:rsidR="006B58B2" w:rsidTr="006B58B2">
        <w:trPr>
          <w:cantSplit/>
          <w:trHeight w:hRule="exact" w:val="86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4.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процентов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28,78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28,67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28,57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28,57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28,34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28,14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977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5.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Доля прибыльных сельскохозяйственных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организаций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в общем их числе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процентов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89,47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85,00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75,00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94,44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87,50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87,50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Чистая прибыль от финансово- хозяйственной деятельности сельскохозяйственных предприятий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полувена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в сумме 50.6 мл. руб. СПК "Союз", СПК "Колос", СПК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Камыжево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", ООО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Агросоюз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", ООО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Липовка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" по итогам работы за 2012 год получен убыток в сумме 5,9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.</w:t>
            </w:r>
          </w:p>
        </w:tc>
      </w:tr>
      <w:tr w:rsidR="006B58B2" w:rsidTr="006B58B2">
        <w:trPr>
          <w:cantSplit/>
          <w:trHeight w:hRule="exact" w:val="2125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6.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процентов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100,00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97,00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97,30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93,97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96,22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95,24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Протяженность автомобильных дорог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ощего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пользования местного значения в 2012г. составила222,1км., в том числе протяженность автомобильных дорог общего пользования местного значения, не отвечающих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нормативным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требованиям-216,1км.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значения-97,3. В 2013г. продолжится уменьшение доли протяженности автомобильных дорог, не отвечающих нормативным требованиям за счет реконструкции старых и строительства новых автомобильных дорог общего пользования местного значения.</w:t>
            </w:r>
          </w:p>
        </w:tc>
      </w:tr>
      <w:tr w:rsidR="006B58B2" w:rsidTr="006B58B2">
        <w:trPr>
          <w:cantSplit/>
          <w:trHeight w:hRule="exact" w:val="1343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7.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процентов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22,87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22,99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22,72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22,30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21,40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19,28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Доля населения, проживающего в населенных пунктах, не имеющих регулярного автобусного и железнодорожного сообщения с п. Кез ежегодно уменьшается, так как увеличивается количество населенных пунктов, охваченных автобусным сообщением.</w:t>
            </w:r>
          </w:p>
        </w:tc>
      </w:tr>
      <w:tr w:rsidR="006B58B2" w:rsidTr="006B58B2">
        <w:trPr>
          <w:cantSplit/>
          <w:trHeight w:hRule="exact" w:val="38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8.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Среднемесячная номинальная начисленная заработная плата работников: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1115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B58B2" w:rsidRDefault="006B58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329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крупных и средних предприятий и некоммерческих организаций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рублей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10372,10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11264,10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12887,90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13990,00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16793,00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18419,00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Среднемесячная заработная плата  по крупным и средним предприятиям в 2012 году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составила 12887,9 рублей увеличившись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на 14,4% к аналогичному периоду прошлого года, в 2013 году заработная плата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прогназируется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в размере 13990 рублей с ростом 8,6%. К 2015 году среднемесячная заработная плата составит 16728 рублей, или 129,8 процентов к 2012 году. </w:t>
            </w:r>
          </w:p>
        </w:tc>
      </w:tr>
      <w:tr w:rsidR="006B58B2" w:rsidTr="006B58B2">
        <w:trPr>
          <w:cantSplit/>
          <w:trHeight w:hRule="exact" w:val="1697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B58B2" w:rsidRDefault="006B58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329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муниципальных дошкольных образовательных учреждений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рублей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6830,40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7543,00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8957,90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9684,61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13474,77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14974,90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В 2012 году в рамках реализации Указа Президента Удмуртской Республики А.А. Волкова от 31 августа 2012 года № 157 "О повышении заработной платы работников образовательных учреждений Удмуртской Республики", среднемесячная номинальная начисленная заработная плата работников дошкольных образовательных учреждений в 2012 году составила 8957,90 руб. (2011г.- 7543 руб.), увеличение показателя на 18,75% связано с повышением заработной платы с 1 октября и 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1 декабря 2012г. В 2013-2015 гг. планируется повышение заработной платы педагогических работников дошкольных образовательных учреждений до средней заработной платы работников в целом по экономике Удмуртской Республики.</w:t>
            </w:r>
          </w:p>
        </w:tc>
      </w:tr>
      <w:tr w:rsidR="006B58B2" w:rsidTr="006B58B2">
        <w:trPr>
          <w:cantSplit/>
          <w:trHeight w:hRule="exact" w:val="1849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B58B2" w:rsidRDefault="006B58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329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муниципальных общеобразовательных учреждений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рублей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8498,60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9879,41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12252,10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14701,58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17750,39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19366,40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В 2012 году в рамках реализации Указа Президента Удмуртской Республики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А.А.Волкова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от 31 августа 2012 года № 157 "О повышении заработной платы работников образовательных учреждений Удмуртской Республики", среднемесячная номинальная начисленная заработная плата работников муниципальных общеобразовательных учреждений в 2012 году составила 12252,10 руб. (2011г.- 9879,41 руб.), увеличение показателя на 24 % связано с повышением заработной платы с 1 сентября, 1 октября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и с 1 декабря 2012г. В 2013-2015 гг. планируется повышение заработной платы педагогических  работников общеобразовательных учреждений до средней заработной платы работников в целом по экономике Удмуртской Республики.</w:t>
            </w:r>
          </w:p>
        </w:tc>
      </w:tr>
      <w:tr w:rsidR="006B58B2" w:rsidTr="006B58B2">
        <w:trPr>
          <w:cantSplit/>
          <w:trHeight w:hRule="exact" w:val="1691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B58B2" w:rsidRDefault="006B58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329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учителей муниципальных общеобразовательных учреждений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рублей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9443,77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11466,67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15417,80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20187,00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21487,27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23387,90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В 2012 году в рамках реализации Указа Президента Удмуртской Республики А.А. Волкова от 31 августа 2012 года № 157 "О повышении заработной платы работников образовательных учреждений Удмуртской Республики", среднемесячная номинальная начисленная заработная плата учителей муниципальных общеобразовательных учреждений в 2012 году составила 15417,80 руб. (2011г.- 11466,67 руб.), увеличение показателя на 34,5 % связано с повышением заработной платы учителей с 1 сентября 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с 1 декабря 2012г. Планируется доведение заработной платы учителей до среднемесячной  заработной платы работников в целом по экономике Удмуртской Республики.</w:t>
            </w:r>
          </w:p>
        </w:tc>
      </w:tr>
      <w:tr w:rsidR="006B58B2" w:rsidTr="006B58B2">
        <w:trPr>
          <w:cantSplit/>
          <w:trHeight w:hRule="exact" w:val="38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B58B2" w:rsidRDefault="006B58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329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муниципальных учреждений культуры и искусства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рублей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6533,90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6489,00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7666,10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10202,81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15147,00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14778,60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38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B58B2" w:rsidRDefault="006B58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329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муниципальных учреждений физической культуры и спорта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рублей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10611,70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12022,90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14563,40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15000,00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19750,03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23008,70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216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Дошкольное образование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1701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9.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процентов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55,62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53,68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59,25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63,70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63,35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64,43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В 2012 году доля детей в возрасте 1-6 лет, получающих дошкольную образовательную услугу, составила 59,25 % (2011г.- 53,68%). Рост показателя связан с открытием 2 групп кратковременного пребывания при МБОУ д/с "Колосок" и МБОУ д/с "Ладушки" с количеством 20 человек, открытием 2 групп кратковременного пребывания при МКОУ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Юскинская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СОШ" с количеством 24 человека и открытием дошкольной группы с количеством 19 человек при МКОУ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Пажманская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ООШ". В 2013 году в связи с вводом детского сада в п. Кез на 220 мест, доля увеличится до 63,7%, но в 2014-2015 гг. доля детей в возрасте 1-6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лет, получающих дошкольную образовательную услугу снизится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из-за увеличения рождаемости.</w:t>
            </w:r>
          </w:p>
        </w:tc>
      </w:tr>
      <w:tr w:rsidR="006B58B2" w:rsidTr="006B58B2">
        <w:trPr>
          <w:cantSplit/>
          <w:trHeight w:hRule="exact" w:val="1155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10.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процентов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29,56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33,69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41,11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17,48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17,27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20,51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В 2012 году доля детей в возрасте от 1 года до 6 лет, состоящих на учете для определения в муниципальные дошкольные образовательные учреждения, в общей численности детей в возрасте 1-6 лет составила 41,11 % (2011г.- 33,69%). Рост рождаемости усугубил проблему дефицита мест в действующих дошкольных образовательных учреждениях. В прогнозном периоде, в связи с вводом детского сада в поселке Кез на 220 мест,  планируется снижение показателя до 11,25 %</w:t>
            </w:r>
          </w:p>
        </w:tc>
      </w:tr>
      <w:tr w:rsidR="006B58B2" w:rsidTr="006B58B2">
        <w:trPr>
          <w:cantSplit/>
          <w:trHeight w:hRule="exact" w:val="1839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11.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процентов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12,50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12,50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25,00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17,65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23,53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14,29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В 2012 году доля муниципальных дошкольных образовательных учреждений, здания которых требуют капитального ремонта, в общей численности муниципальных образовательных учреждений составила 25% (2011г.- 12,5%). Требуют капитального ремонта 4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дошкольных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образовательных учреждения: МБДОУ д/с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Желтопиевский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", МБДОУ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Рябинушка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", МБДОУ д/с "Березка" и МБДОУ д/с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Вуюись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". В 2012 году отремонтирована кровля МБДОУ д/с "Ладушки". В 2013-2014гг. планируется проведение капитального ремонта по одному дошкольному образовательному учреждению, к 2015 году доля дошкольных образовательных учреждений, здания которых требуют капитального ремонта,  снизится до 11,76 %.</w:t>
            </w:r>
          </w:p>
        </w:tc>
      </w:tr>
      <w:tr w:rsidR="006B58B2" w:rsidTr="006B58B2">
        <w:trPr>
          <w:cantSplit/>
          <w:trHeight w:hRule="exact" w:val="216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Общее и дополнительное образование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1343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12.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процентов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97,24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100,00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95,07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100,00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95,28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97,30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По итогам 2012 года удельный вес лиц сдавших единый государственный экзамен по русскому языку и математике составил 95,07 % (2011г.- 100%). В связи с низкой подготовкой 7 человек, которые не сдали единый государственный экзамен по математике. В прогнозном периоде планируется обеспечить по обязательным предметам  100% результат сдачи ЕГЭ.</w:t>
            </w:r>
          </w:p>
        </w:tc>
      </w:tr>
      <w:tr w:rsidR="006B58B2" w:rsidTr="006B58B2">
        <w:trPr>
          <w:cantSplit/>
          <w:trHeight w:hRule="exact" w:val="102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13.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процентов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4,05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4,93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4,72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2,70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 в 2012 году составила 5,19 % (7 выпускников из 142 не сдали ЕГЭ по математике).</w:t>
            </w:r>
          </w:p>
        </w:tc>
      </w:tr>
      <w:tr w:rsidR="006B58B2" w:rsidTr="006B58B2">
        <w:trPr>
          <w:cantSplit/>
          <w:trHeight w:hRule="exact" w:val="2667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14.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процентов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63,67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65,33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75,09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56,25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74,04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76,67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Система общего образования представлена 16 учреждениями. В 2012 году 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составила 50% (2011г.- 50%). Одним из критериев, по которым общеобразовательное учреждение не соответствует требованиям, является необходимость проведения  капитального ремонта, таковыми являются  МБОУ "Кезская СОШ №1", МБОУ "Кулигинская СОШ и МБОУ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Поломская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СОШ №2". В 2013 году планируется капитальный ремонт МБОУ "Кезская СОШ №1", поэтому доля  общеобразовательных учреждений, соответствующих современным требованиям  увеличится до 56,25%. В 2013 году планируется ремонт кровли МБОУ "Кезская СОШ №2", но данное учреждение не полностью соответствует современным требованиям обучения из-за отсутствия спортзала. Доля учреждений, соответствующих современным требованиям останется на уровне 2013 года. В 2015 году  планируется  ввод новой школы в п. Кез и ремонт кровли МБОУ "Кулигинская СОШ".  Но  к  2015 году возникнет необходимость проведения  ремонта в  МБОУ "Александровская СОШ", поэтому количество учреждений соответствующих современным требованиям обучения достигнет 10 из 17 учреждений. Соответственно, доля учреждений,  соответствующих современным требованиям возрастет до 58,8%.</w:t>
            </w:r>
          </w:p>
        </w:tc>
      </w:tr>
      <w:tr w:rsidR="006B58B2" w:rsidTr="006B58B2">
        <w:trPr>
          <w:cantSplit/>
          <w:trHeight w:hRule="exact" w:val="2849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15.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процентов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18,75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15,00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21,05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18,75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26,67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11,11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Доля муниципальных общеобразовательных учреждений, здания которых требуют капитального ремонта, в общем количестве общеобразовательных учреждений в 2012 году составила 25% (2011г.- 18,75%). В  районе 4 общеобразовательных учреждения, здания которых требуют  капитального ремонта (МБОУ "Кезская СОШ №1", МБОУ "Кезская СОШ №2", МБОУ "Кулигинская СОШ", МБОУ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Поломская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СОШ №2")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2011г.-  3). В 2012 году проводились ремонтные работы по частичной замене оконных блоков в 4 учреждениях и в 3 учреждениях ремонт мягкой кровли. В связи с недостатком финансовых средств в местном бюджете для проведения мероприятий по приведению общеобразовательных учреждений в соответствие с требованиями, в 2013 году планируется проведение капитального ремонта кровли МБОУ "Кезская СОШ №1", в 2014 год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ремонт кровли  МБОУ "Кезская СОШ №2", в 2015 году- ремонт кровли  МБОУ "Кулигинская СОШ №2". Доля  муниципальных общеобразовательных учреждений, здания которых требуют капитального ремонта, в общем количестве муниципальных общеобразовательных учреждений снизится с 25% в 2012 году до 11,76% в 2015 году.</w:t>
            </w:r>
          </w:p>
        </w:tc>
      </w:tr>
      <w:tr w:rsidR="006B58B2" w:rsidTr="006B58B2">
        <w:trPr>
          <w:cantSplit/>
          <w:trHeight w:hRule="exact" w:val="1981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16.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Доля детей первой и второй групп здоровья в общей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численности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процентов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88,30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87,08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87,83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87,99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88,77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87,42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Отмечается некоторая тенденция к росту доли детей первой и второй групп здоровья в общей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численности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обучающихся в муниципальных общеобразовательных учреждениях. В 2012 году показатель составил 87,83% (2011г.- 87,08%), увеличение на 0,75% связано с улучшением питания учащихся, улучшением условий обучения и медицинского обеспечения согласно санитарн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гигиеническим нормам. В плановом периоде планируется улучшение состояния обучающихся при соблюдении санитарн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гигиенических нормативов, более широкого внедрения оздоровительных технологий, формирования у школьников и педагогов бережного отношения к своему здоровью. К 2015 году планируется доведение показателя до 88,05%.</w:t>
            </w:r>
          </w:p>
        </w:tc>
      </w:tr>
      <w:tr w:rsidR="006B58B2" w:rsidTr="006B58B2">
        <w:trPr>
          <w:cantSplit/>
          <w:trHeight w:hRule="exact" w:val="2136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17.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численности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процентов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21,40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21,64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24,12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24,50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23,66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22,16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В поселке Кез имеются два общеобразовательного учреждения, в которых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- за перенаполняемости,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учащиеся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занимаются в две смены.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Доля обучающихся в муниципальных общеобразовательных учреждениях, занимающихся во вторую смену,  в 2012 году составила 24,79%, что выше показателя 2011 года на 2,55% . Увеличение обучающихся, занимающихся во вторую смену, произошло  в связи с изменением работы группы продленного дня (перевод в первую смену) для детей, охваченных подвозом, был освобожден кабинет начального звена.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И в соответствии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СаНПиН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, для уроков информатики было выделено помещение, которое ранее использовалось под кабинет старшего звена. Доля учащихся, занимающихся во вторую смену, в 2015 году составит  0% в связи с введением новой школы в п. Кез.</w:t>
            </w:r>
          </w:p>
        </w:tc>
      </w:tr>
      <w:tr w:rsidR="006B58B2" w:rsidTr="006B58B2">
        <w:trPr>
          <w:cantSplit/>
          <w:trHeight w:hRule="exact" w:val="86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18.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Расходы бюджета муниципального образования на общее образование в расчете на 1 обучающегося в муниципальных общеобразовательных учреждениях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тыс. рублей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48,92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56,57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68,91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56,67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77,90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70,77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Рост расходов  связан с уменьшением численности учащихся. В 2011 году рост связан  с повышением заработной платы с июня, с сентября, с октября. В 2012 г. также было повышение заработной платы в сентябре и в октябре. Кроме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тогов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2012г. получены средства на модернизацию систем общего образования.</w:t>
            </w:r>
          </w:p>
        </w:tc>
      </w:tr>
      <w:tr w:rsidR="006B58B2" w:rsidTr="006B58B2">
        <w:trPr>
          <w:cantSplit/>
          <w:trHeight w:hRule="exact" w:val="2250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19.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процентов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38,84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52,61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57,03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54,67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56,40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55,92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Численность детей в возрасте 5-18 лет, получающих услуги по дополнительному образованию в организациях различной организационн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правовой формы и формы собственности в 2012 году составила 1971 человек (2011г.- 1837 чел.). Увеличение на 134 человека произошло за счет роста количества детей, посещающих кружки. Охват детей в возрасте от 5-18 лет, получающих услуги по дополнительному образованию, в общей численности детей в 2012 году составил 57% (2011г.- 52,61%). В планируемом периоде за счет открытия объединений, численность детей, охваченных дополнительным образованием, будет расти к 2015 году  до 2020 человек, но в связи с ростом рождаемости, увеличится общая численность детей в возрасте 5-18 лет с 3456 человек в 2012 году до 4004 человек в 2015 году. Доля детей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получающих услугу по дополнительному образованию в общей численности детей, снизится до 50,45%.</w:t>
            </w:r>
          </w:p>
        </w:tc>
      </w:tr>
      <w:tr w:rsidR="006B58B2" w:rsidTr="006B58B2">
        <w:trPr>
          <w:cantSplit/>
          <w:trHeight w:hRule="exact" w:val="216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Культура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54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20.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Уровень фактической обеспеченности учреждениями культуры от нормативной потребности: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216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B58B2" w:rsidRDefault="006B58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329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клубами и учреждениями клубного типа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процентов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5,02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120,35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131,99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130,42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6,20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100,01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216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B58B2" w:rsidRDefault="006B58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329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библиотеками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процентов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96,00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72,41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77,78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77,78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91,30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91,30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216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B58B2" w:rsidRDefault="006B58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329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парками культуры и отдыха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процентов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86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процентов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38,78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37,50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40,43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48,00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40,43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36,17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118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22.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процентов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100,00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100,00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33,33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216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Физическая культура и спорт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54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23.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процентов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13,76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22,54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26,53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27,52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29,33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30,98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216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Жилищное строительство и обеспечение граждан жильем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54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24.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Общая площадь жилых помещений, приходящаяся в среднем на одного жителя, - всего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кв. метров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21,47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22,19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22,81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23,10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22,77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23,27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1356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B58B2" w:rsidRDefault="006B58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в том числе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введенная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в действие за один год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кв. метров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0,23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0,35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0,26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0,27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0,31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0,30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В 2012г. было введено 5358кв.м. индивидуального жилья. В основном жилье вводилось по разрешениям на строительство индивидуальных жилых домов выданных в 2003г. Учитывая, что в 2003г. выдано 77 разрешений, поэтому факт ввода индивидуальных жилых домов в 2012г. уменьшился в сравнение с 2011г. Организациями-застройщиками в 2012г. введено в эксплуатацию 8 квартир по ФЗ-№185. В 2013г. предполагается строительство 18 квартир по №185-ФЗ. В 2014г -17 квартир по №185-ФЗ.</w:t>
            </w:r>
          </w:p>
        </w:tc>
      </w:tr>
      <w:tr w:rsidR="006B58B2" w:rsidTr="006B58B2">
        <w:trPr>
          <w:cantSplit/>
          <w:trHeight w:hRule="exact" w:val="126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25.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Площадь земельных участков, предоставленных для строительства в расчете на 10 тыс. человек населения, - всего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гектаров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7,79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8,51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5,23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5,28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4,46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6,10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Площадь земельных участков, предоставленных для строительства в расчете на 10 тыс. человек населения в 2012г. составила 5,23га. Уменьшение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призошло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за счет уменьшения земельных участков, предоставленных для жилищного строительства и индивидуального строительства в сельских населенных пунктах, где размеры одного земельного участка больше, чем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ез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. Формирование новых земельных участков ограничено финансовыми возможностями.</w:t>
            </w:r>
          </w:p>
        </w:tc>
      </w:tr>
      <w:tr w:rsidR="006B58B2" w:rsidTr="006B58B2">
        <w:trPr>
          <w:cantSplit/>
          <w:trHeight w:hRule="exact" w:val="86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B58B2" w:rsidRDefault="006B58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в том числе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гектаров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5,14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6,65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2,89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2,92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4,36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5,40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1343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26.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Площадь земельных участков, предоставленных для строительства, в отношении которых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с даты принятия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38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B58B2" w:rsidRDefault="006B58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объектов жилищного строительства - в течение 3 лет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кв. метров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38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B58B2" w:rsidRDefault="006B58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иных объектов капитального строительства - в течение 5 лет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кв. метров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216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Жилищно-коммунальное хозяйство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118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27.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процентов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6,88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9,86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10,45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10,45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10,77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29,82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 в которых собственники помещений должны выбрать способ управления данными домами  увеличилась за счет процедуры приватизации</w:t>
            </w:r>
          </w:p>
        </w:tc>
      </w:tr>
      <w:tr w:rsidR="006B58B2" w:rsidTr="006B58B2">
        <w:trPr>
          <w:cantSplit/>
          <w:trHeight w:hRule="exact" w:val="2943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28.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Доля организаций коммунального комплекса, осуществляющих производство товаров, оказание услуг по водо-, тепл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осуществляющих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свою деятельность на территории городского округа (муниципального района)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процентов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100,00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100,00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100,00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100,00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100,00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100,00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70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29.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процентов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70,92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71,43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100,00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100,00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100,00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102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30.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      </w:r>
            <w:proofErr w:type="gramEnd"/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процентов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39,71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10,20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7,76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8,00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10,00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3,82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216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Организация муниципального управления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118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31.</w:t>
            </w:r>
          </w:p>
        </w:tc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процентов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17,61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20,44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22,78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37,93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67,76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69,91</w:t>
            </w:r>
          </w:p>
        </w:tc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Доля налоговых и неналоговых доходов местного бюджета в общем объеме собственных доходов по сравнению с прошлым годом увеличилась в связи с ростом поступлений налога на доходы физических лиц и платы за негативное воздействие на окружающую среду</w:t>
            </w:r>
          </w:p>
        </w:tc>
      </w:tr>
    </w:tbl>
    <w:p w:rsidR="006B58B2" w:rsidRDefault="006B58B2" w:rsidP="006B5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B58B2">
          <w:pgSz w:w="16838" w:h="11906" w:orient="landscape"/>
          <w:pgMar w:top="567" w:right="283" w:bottom="567" w:left="1134" w:header="0" w:footer="567" w:gutter="0"/>
          <w:cols w:space="720"/>
        </w:sectPr>
      </w:pPr>
    </w:p>
    <w:tbl>
      <w:tblPr>
        <w:tblW w:w="153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"/>
        <w:gridCol w:w="371"/>
        <w:gridCol w:w="2867"/>
        <w:gridCol w:w="21"/>
        <w:gridCol w:w="1255"/>
        <w:gridCol w:w="1134"/>
        <w:gridCol w:w="992"/>
        <w:gridCol w:w="1134"/>
        <w:gridCol w:w="993"/>
        <w:gridCol w:w="13"/>
        <w:gridCol w:w="979"/>
        <w:gridCol w:w="1126"/>
        <w:gridCol w:w="8"/>
        <w:gridCol w:w="4252"/>
      </w:tblGrid>
      <w:tr w:rsidR="006B58B2" w:rsidTr="006B58B2">
        <w:trPr>
          <w:cantSplit/>
          <w:trHeight w:val="216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noWrap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 Единица </w:t>
            </w:r>
          </w:p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измерения</w:t>
            </w:r>
          </w:p>
        </w:tc>
        <w:tc>
          <w:tcPr>
            <w:tcW w:w="63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noWrap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Отчетная информация</w:t>
            </w:r>
          </w:p>
        </w:tc>
        <w:tc>
          <w:tcPr>
            <w:tcW w:w="42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noWrap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Примечание</w:t>
            </w:r>
          </w:p>
        </w:tc>
      </w:tr>
      <w:tr w:rsidR="006B58B2" w:rsidTr="006B58B2">
        <w:trPr>
          <w:cantSplit/>
          <w:trHeight w:hRule="exact" w:val="216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B58B2" w:rsidRDefault="006B5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58B2" w:rsidRDefault="006B58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noWrap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noWrap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noWrap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2012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noWrap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2013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noWrap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2014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noWrap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2015</w:t>
            </w:r>
          </w:p>
        </w:tc>
        <w:tc>
          <w:tcPr>
            <w:tcW w:w="42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58B2" w:rsidRDefault="006B58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</w:tr>
      <w:tr w:rsidR="006B58B2" w:rsidTr="006B58B2">
        <w:trPr>
          <w:cantSplit/>
          <w:trHeight w:hRule="exact" w:val="102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32.</w:t>
            </w:r>
          </w:p>
        </w:tc>
        <w:tc>
          <w:tcPr>
            <w:tcW w:w="2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 по полной учетной стоимости)</w:t>
            </w: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процентов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70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33.</w:t>
            </w:r>
          </w:p>
        </w:tc>
        <w:tc>
          <w:tcPr>
            <w:tcW w:w="2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Объем не завершенного в установленные сроки строительства, осуществляемого за счет средств бюджета городского округа (муниципального района)</w:t>
            </w: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тыс. рублей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118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34.</w:t>
            </w:r>
          </w:p>
        </w:tc>
        <w:tc>
          <w:tcPr>
            <w:tcW w:w="2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      </w: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процентов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86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35.</w:t>
            </w:r>
          </w:p>
        </w:tc>
        <w:tc>
          <w:tcPr>
            <w:tcW w:w="2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      </w: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рублей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1481,80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1778,60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2073,00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2124,10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2793,65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3022,02</w:t>
            </w:r>
          </w:p>
        </w:tc>
        <w:tc>
          <w:tcPr>
            <w:tcW w:w="4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Рост расходов бюджета на содержание работников органов местного самоуправления связан с уменьшением численности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населения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а также с  повышением заработной платы с июня и с октября 2011г. и с октября 2012г. В 2013-2015гг. повышение оплаты труда не запланировано.</w:t>
            </w:r>
          </w:p>
        </w:tc>
      </w:tr>
      <w:tr w:rsidR="006B58B2" w:rsidTr="006B58B2">
        <w:trPr>
          <w:cantSplit/>
          <w:trHeight w:hRule="exact" w:val="86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36.</w:t>
            </w:r>
          </w:p>
        </w:tc>
        <w:tc>
          <w:tcPr>
            <w:tcW w:w="2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Наличие в городском округе (муниципальном районе) утвержденного генерального плана городского округа (схемы территориального планирования муниципального района)</w:t>
            </w: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да/нет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нет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да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да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да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да</w:t>
            </w:r>
          </w:p>
        </w:tc>
        <w:tc>
          <w:tcPr>
            <w:tcW w:w="4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В 2012г. на основании Решения Районного Совета депутатов муниципального образования "Кезский район" от 29.11.2012г. № 78 "Об утверждении схемы территориального планирования муниципального образования "Кезский район"</w:t>
            </w:r>
          </w:p>
        </w:tc>
      </w:tr>
      <w:tr w:rsidR="006B58B2" w:rsidTr="006B58B2">
        <w:trPr>
          <w:cantSplit/>
          <w:trHeight w:hRule="exact" w:val="70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37.</w:t>
            </w:r>
          </w:p>
        </w:tc>
        <w:tc>
          <w:tcPr>
            <w:tcW w:w="2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Удовлетворенность населения деятельностью органов местного самоуправления городского округа (муниципального района)</w:t>
            </w: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процентов от числа опрошенных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41,30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44,20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50,20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51,30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Администрацией района был проведен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опрос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в котором приняли участие 961 человек. По результатам опроса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уловлетворенность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населения составила 50,2 процента.</w:t>
            </w:r>
          </w:p>
        </w:tc>
      </w:tr>
      <w:tr w:rsidR="006B58B2" w:rsidTr="006B58B2">
        <w:trPr>
          <w:cantSplit/>
          <w:trHeight w:hRule="exact" w:val="38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38.</w:t>
            </w:r>
          </w:p>
        </w:tc>
        <w:tc>
          <w:tcPr>
            <w:tcW w:w="2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Среднегодовая численность постоянного населения</w:t>
            </w: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тыс. человек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22,97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22,55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22,00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21,80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21,60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21,00</w:t>
            </w:r>
          </w:p>
        </w:tc>
        <w:tc>
          <w:tcPr>
            <w:tcW w:w="4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216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Энергосбережение и повышение энергетической эффективности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54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39.</w:t>
            </w:r>
          </w:p>
        </w:tc>
        <w:tc>
          <w:tcPr>
            <w:tcW w:w="2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Удельная величина потребления энергетических ресурсов в многоквартирных домах:</w:t>
            </w: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38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B58B2" w:rsidRDefault="006B58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2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электрическая энергия</w:t>
            </w: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кВт/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ч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на 1 проживающего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916,92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916,92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916,92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578,78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907,23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211,09</w:t>
            </w:r>
          </w:p>
        </w:tc>
        <w:tc>
          <w:tcPr>
            <w:tcW w:w="4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38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B58B2" w:rsidRDefault="006B58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2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тепловая энергия</w:t>
            </w: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Гкал на 1 кв. метр общей площади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0,36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0,36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0,39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0,36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0,23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0,18</w:t>
            </w:r>
          </w:p>
        </w:tc>
        <w:tc>
          <w:tcPr>
            <w:tcW w:w="4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38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B58B2" w:rsidRDefault="006B58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2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горячая вода</w:t>
            </w: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куб. метров на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прожи-вающего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23,75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31,09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20,94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31,09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16,82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18,63</w:t>
            </w:r>
          </w:p>
        </w:tc>
        <w:tc>
          <w:tcPr>
            <w:tcW w:w="4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665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B58B2" w:rsidRDefault="006B58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2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холодная вода</w:t>
            </w: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куб. метров на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прожи-вающего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47,20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25,55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24,15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25,55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23,49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27,08</w:t>
            </w:r>
          </w:p>
        </w:tc>
        <w:tc>
          <w:tcPr>
            <w:tcW w:w="4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Объем потребления холодной воды в многоквартирных домах снизился  по причине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установки индивидуальных приборов учета приборов учета</w:t>
            </w:r>
            <w:proofErr w:type="gramEnd"/>
          </w:p>
        </w:tc>
      </w:tr>
      <w:tr w:rsidR="006B58B2" w:rsidTr="006B58B2">
        <w:trPr>
          <w:cantSplit/>
          <w:trHeight w:hRule="exact" w:val="38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B58B2" w:rsidRDefault="006B58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2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природный газ</w:t>
            </w: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куб. метров на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прожи-вающего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107,50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107,50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122,75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69,92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127,99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137,64</w:t>
            </w:r>
          </w:p>
        </w:tc>
        <w:tc>
          <w:tcPr>
            <w:tcW w:w="4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54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40.</w:t>
            </w:r>
          </w:p>
        </w:tc>
        <w:tc>
          <w:tcPr>
            <w:tcW w:w="2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Удельная величина потребления энергетических ресурсов муниципальными бюджетными учреждениями:</w:t>
            </w: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54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B58B2" w:rsidRDefault="006B58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2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электрическая энергия</w:t>
            </w: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кВт/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ч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на 1 человека населения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124,29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156,73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127,21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128,40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138,50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126,23</w:t>
            </w:r>
          </w:p>
        </w:tc>
        <w:tc>
          <w:tcPr>
            <w:tcW w:w="4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38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B58B2" w:rsidRDefault="006B58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2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тепловая энергия</w:t>
            </w: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Гкал на 1 кв. метр общей площади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0,20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0,20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0,20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0,22</w:t>
            </w:r>
          </w:p>
        </w:tc>
        <w:tc>
          <w:tcPr>
            <w:tcW w:w="4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54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</w:p>
        </w:tc>
        <w:tc>
          <w:tcPr>
            <w:tcW w:w="3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горячая вода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куб. метров на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челове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населения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0,52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0,47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0,35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0,35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0,23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0,26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Удельная величина потребления горячей воды снижается  ввиду установки приборов учета</w:t>
            </w:r>
          </w:p>
        </w:tc>
      </w:tr>
      <w:tr w:rsidR="006B58B2" w:rsidTr="006B58B2">
        <w:trPr>
          <w:cantSplit/>
          <w:trHeight w:hRule="exact" w:val="54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холодная вода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куб. метров на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челове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населения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2,01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1,65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1,66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1,68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1,54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2,20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8B2" w:rsidTr="006B58B2">
        <w:trPr>
          <w:cantSplit/>
          <w:trHeight w:hRule="exact" w:val="542"/>
        </w:trPr>
        <w:tc>
          <w:tcPr>
            <w:tcW w:w="1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23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природный газ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7E4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куб. метров на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челове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населения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2,44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2,48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2,57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2,57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3,27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1,44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B58B2" w:rsidRDefault="006B58B2">
            <w:pPr>
              <w:autoSpaceDE w:val="0"/>
              <w:autoSpaceDN w:val="0"/>
              <w:adjustRightInd w:val="0"/>
              <w:spacing w:after="0" w:line="240" w:lineRule="auto"/>
              <w:ind w:left="122"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58B2" w:rsidRDefault="006B58B2" w:rsidP="006B58B2"/>
    <w:p w:rsidR="00D2470D" w:rsidRDefault="00D2470D"/>
    <w:sectPr w:rsidR="00D2470D" w:rsidSect="006B58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8B2"/>
    <w:rsid w:val="00027D54"/>
    <w:rsid w:val="00074A7F"/>
    <w:rsid w:val="001967B8"/>
    <w:rsid w:val="001A10C8"/>
    <w:rsid w:val="001E6E08"/>
    <w:rsid w:val="001F5CC8"/>
    <w:rsid w:val="002331F6"/>
    <w:rsid w:val="00246E45"/>
    <w:rsid w:val="00262225"/>
    <w:rsid w:val="00263704"/>
    <w:rsid w:val="002A1422"/>
    <w:rsid w:val="0030447E"/>
    <w:rsid w:val="00323737"/>
    <w:rsid w:val="00344FD4"/>
    <w:rsid w:val="0036548E"/>
    <w:rsid w:val="00414208"/>
    <w:rsid w:val="00443DEC"/>
    <w:rsid w:val="00493C85"/>
    <w:rsid w:val="004B2B44"/>
    <w:rsid w:val="004B53E9"/>
    <w:rsid w:val="004C77D4"/>
    <w:rsid w:val="004E3AF6"/>
    <w:rsid w:val="00576F9C"/>
    <w:rsid w:val="005F08E2"/>
    <w:rsid w:val="00657CD1"/>
    <w:rsid w:val="00677982"/>
    <w:rsid w:val="006B58B2"/>
    <w:rsid w:val="0070244F"/>
    <w:rsid w:val="00755D24"/>
    <w:rsid w:val="007A6411"/>
    <w:rsid w:val="007C5A76"/>
    <w:rsid w:val="007C71F5"/>
    <w:rsid w:val="007F3BAE"/>
    <w:rsid w:val="00803617"/>
    <w:rsid w:val="008430D3"/>
    <w:rsid w:val="00850213"/>
    <w:rsid w:val="0087324D"/>
    <w:rsid w:val="00880581"/>
    <w:rsid w:val="00931878"/>
    <w:rsid w:val="00937FE0"/>
    <w:rsid w:val="00996D13"/>
    <w:rsid w:val="009A7B35"/>
    <w:rsid w:val="00A14D62"/>
    <w:rsid w:val="00A61ED5"/>
    <w:rsid w:val="00AF33A8"/>
    <w:rsid w:val="00B404E7"/>
    <w:rsid w:val="00C115BF"/>
    <w:rsid w:val="00C22DC2"/>
    <w:rsid w:val="00C3054B"/>
    <w:rsid w:val="00C572F1"/>
    <w:rsid w:val="00CA3C6B"/>
    <w:rsid w:val="00CB3F4E"/>
    <w:rsid w:val="00D2470D"/>
    <w:rsid w:val="00DB5E78"/>
    <w:rsid w:val="00DD445D"/>
    <w:rsid w:val="00E10143"/>
    <w:rsid w:val="00EF5AF2"/>
    <w:rsid w:val="00EF7ACB"/>
    <w:rsid w:val="00F059BA"/>
    <w:rsid w:val="00F57521"/>
    <w:rsid w:val="00F647B4"/>
    <w:rsid w:val="00F74AAC"/>
    <w:rsid w:val="00FC19A4"/>
    <w:rsid w:val="00FD737A"/>
    <w:rsid w:val="00FE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8B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5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58B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8B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5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58B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9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4089</Words>
  <Characters>23311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2015-04-30T08:48:00Z</dcterms:created>
  <dcterms:modified xsi:type="dcterms:W3CDTF">2015-05-06T06:10:00Z</dcterms:modified>
</cp:coreProperties>
</file>